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79" w:rsidRDefault="00DB244C" w:rsidP="00E64E9A">
      <w:pPr>
        <w:pStyle w:val="Ttulo1"/>
      </w:pPr>
      <w:r>
        <w:t xml:space="preserve">Os </w:t>
      </w:r>
      <w:r w:rsidR="00E64E9A" w:rsidRPr="00E64E9A">
        <w:t>Peregrinos</w:t>
      </w:r>
      <w:r w:rsidR="00E64E9A">
        <w:t xml:space="preserve"> Liberta</w:t>
      </w:r>
      <w:r>
        <w:t>ra</w:t>
      </w:r>
      <w:r w:rsidR="00E64E9A">
        <w:t xml:space="preserve">m-se </w:t>
      </w:r>
      <w:r>
        <w:t xml:space="preserve">Da Fome-Inanição (Resultante </w:t>
      </w:r>
      <w:r w:rsidR="00E64E9A">
        <w:t xml:space="preserve">Do </w:t>
      </w:r>
      <w:r w:rsidR="00E64E9A" w:rsidRPr="00E64E9A">
        <w:t>'Comunismo'</w:t>
      </w:r>
      <w:r>
        <w:t>)</w:t>
      </w:r>
      <w:r w:rsidR="00E64E9A">
        <w:t xml:space="preserve"> </w:t>
      </w:r>
      <w:r w:rsidR="00E64E9A" w:rsidRPr="00E64E9A">
        <w:t>Com</w:t>
      </w:r>
      <w:r w:rsidR="00E64E9A">
        <w:t xml:space="preserve"> </w:t>
      </w:r>
      <w:r w:rsidR="00E64E9A" w:rsidRPr="00E64E9A">
        <w:t>Mercado</w:t>
      </w:r>
      <w:r w:rsidR="00E64E9A">
        <w:t xml:space="preserve"> </w:t>
      </w:r>
      <w:r w:rsidR="00E64E9A" w:rsidRPr="00E64E9A">
        <w:t>Livre</w:t>
      </w:r>
    </w:p>
    <w:p w:rsidR="00BD073E" w:rsidRDefault="00BD073E" w:rsidP="00BD073E">
      <w:pPr>
        <w:spacing w:before="100" w:beforeAutospacing="1" w:after="100" w:afterAutospacing="1" w:line="240" w:lineRule="auto"/>
        <w:jc w:val="center"/>
        <w:rPr>
          <w:rFonts w:ascii="gotham b" w:eastAsia="Times New Roman" w:hAnsi="gotham b" w:cs="Times New Roman"/>
          <w:color w:val="111D22"/>
          <w:sz w:val="27"/>
          <w:szCs w:val="27"/>
        </w:rPr>
      </w:pPr>
      <w:r>
        <w:rPr>
          <w:rFonts w:ascii="gotham b" w:eastAsia="Times New Roman" w:hAnsi="gotham b" w:cs="Times New Roman"/>
          <w:b/>
          <w:color w:val="111D22"/>
          <w:sz w:val="31"/>
          <w:szCs w:val="27"/>
        </w:rPr>
        <w:br/>
      </w:r>
      <w:r w:rsidR="00461379" w:rsidRPr="00BD073E">
        <w:rPr>
          <w:rFonts w:ascii="gotham b" w:eastAsia="Times New Roman" w:hAnsi="gotham b" w:cs="Times New Roman"/>
          <w:b/>
          <w:color w:val="111D22"/>
          <w:sz w:val="31"/>
          <w:szCs w:val="27"/>
        </w:rPr>
        <w:t>Michael Franc</w:t>
      </w:r>
    </w:p>
    <w:p w:rsidR="00E64E9A" w:rsidRDefault="00461379" w:rsidP="00BD073E">
      <w:pPr>
        <w:spacing w:before="100" w:beforeAutospacing="1" w:after="100" w:afterAutospacing="1" w:line="240" w:lineRule="auto"/>
      </w:pPr>
      <w:r>
        <w:rPr>
          <w:rFonts w:ascii="gotham b" w:eastAsia="Times New Roman" w:hAnsi="gotham b" w:cs="Times New Roman"/>
          <w:color w:val="111D22"/>
          <w:sz w:val="27"/>
          <w:szCs w:val="27"/>
        </w:rPr>
        <w:br/>
        <w:t xml:space="preserve">(Excerto de </w:t>
      </w:r>
      <w:hyperlink r:id="rId5" w:history="1">
        <w:r>
          <w:rPr>
            <w:rStyle w:val="Hyperlink"/>
          </w:rPr>
          <w:t>https://www.heritage.org/markets-and-finance/commentary/pilgrims-beat-communism-free-market</w:t>
        </w:r>
      </w:hyperlink>
      <w:r>
        <w:t xml:space="preserve"> )</w:t>
      </w:r>
      <w:r>
        <w:br/>
      </w:r>
      <w:r>
        <w:br/>
      </w:r>
      <w:r w:rsidR="00BD073E">
        <w:br/>
      </w:r>
      <w:r>
        <w:br/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Recordar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história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peregrinos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é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tradição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Ação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Graças,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mas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você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conhece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verdadeira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história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por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trás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o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triunfo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deles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sobre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65043F">
        <w:rPr>
          <w:rFonts w:ascii="gotham b" w:eastAsia="Times New Roman" w:hAnsi="gotham b" w:cs="Times New Roman"/>
          <w:i/>
          <w:color w:val="111D22"/>
          <w:sz w:val="27"/>
          <w:szCs w:val="27"/>
          <w:highlight w:val="yellow"/>
          <w:u w:val="single"/>
        </w:rPr>
        <w:t>fome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65043F">
        <w:rPr>
          <w:rFonts w:ascii="gotham b" w:eastAsia="Times New Roman" w:hAnsi="gotham b" w:cs="Times New Roman"/>
          <w:i/>
          <w:color w:val="111D22"/>
          <w:sz w:val="27"/>
          <w:szCs w:val="27"/>
          <w:highlight w:val="yellow"/>
          <w:u w:val="single"/>
        </w:rPr>
        <w:t>pobreza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Colônia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Plymouth,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quase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quatro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séculos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atrás?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A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salvação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deles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resultou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não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tanto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gestos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caridosos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índios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locais,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mas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sua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corajosa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decisão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abraçar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princípio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livre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mercado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e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propriedade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privada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,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século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meio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antes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Adam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Smith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escrever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i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i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i/>
          <w:color w:val="111D22"/>
          <w:sz w:val="27"/>
          <w:szCs w:val="27"/>
        </w:rPr>
        <w:t>Riqueza</w:t>
      </w:r>
      <w:r w:rsidR="00E64E9A">
        <w:rPr>
          <w:rFonts w:ascii="gotham b" w:eastAsia="Times New Roman" w:hAnsi="gotham b" w:cs="Times New Roman"/>
          <w:i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i/>
          <w:color w:val="111D22"/>
          <w:sz w:val="27"/>
          <w:szCs w:val="27"/>
        </w:rPr>
        <w:t>das</w:t>
      </w:r>
      <w:r w:rsidR="00E64E9A">
        <w:rPr>
          <w:rFonts w:ascii="gotham b" w:eastAsia="Times New Roman" w:hAnsi="gotham b" w:cs="Times New Roman"/>
          <w:i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i/>
          <w:color w:val="111D22"/>
          <w:sz w:val="27"/>
          <w:szCs w:val="27"/>
        </w:rPr>
        <w:t>Nações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.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  <w:t>Escrevendo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seu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diário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sobre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65043F">
        <w:rPr>
          <w:rFonts w:ascii="gotham b" w:eastAsia="Times New Roman" w:hAnsi="gotham b" w:cs="Times New Roman"/>
          <w:i/>
          <w:color w:val="111D22"/>
          <w:sz w:val="27"/>
          <w:szCs w:val="27"/>
          <w:highlight w:val="yellow"/>
          <w:u w:val="single"/>
        </w:rPr>
        <w:t>terrível situação econômica e o comportamento autodestrutivo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consumiu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seus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colegas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puritanos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logo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após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sua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chegada,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governador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William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Bradford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pintou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quadro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colonos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destituídos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[de comida] </w:t>
      </w:r>
      <w:r w:rsidR="00E64E9A" w:rsidRPr="0065043F">
        <w:rPr>
          <w:rFonts w:ascii="gotham b" w:eastAsia="Times New Roman" w:hAnsi="gotham b" w:cs="Times New Roman"/>
          <w:i/>
          <w:color w:val="111D22"/>
          <w:sz w:val="27"/>
          <w:szCs w:val="27"/>
          <w:u w:val="single"/>
        </w:rPr>
        <w:t>vendendo suas roupas e cobertores de cama para comer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enquanto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outros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</w:t>
      </w:r>
      <w:r w:rsidR="00E64E9A" w:rsidRPr="0065043F">
        <w:rPr>
          <w:rFonts w:ascii="gotham b" w:eastAsia="Times New Roman" w:hAnsi="gotham b" w:cs="Times New Roman"/>
          <w:i/>
          <w:color w:val="111D22"/>
          <w:sz w:val="27"/>
          <w:szCs w:val="27"/>
          <w:u w:val="single"/>
        </w:rPr>
        <w:t>se tornaram servos dos índios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"Cortar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madeira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buscar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água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troca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</w:t>
      </w:r>
      <w:r w:rsidR="0024214C">
        <w:rPr>
          <w:rFonts w:ascii="gotham b" w:eastAsia="Times New Roman" w:hAnsi="gotham b" w:cs="Times New Roman"/>
          <w:color w:val="111D22"/>
          <w:sz w:val="27"/>
          <w:szCs w:val="27"/>
        </w:rPr>
        <w:t>um boné cheio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milho.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s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mais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desesperado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s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entre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eles,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faminto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>s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Bradford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contando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como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colono,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reunir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moluscos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longo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costa,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"estava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tão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fraco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...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ele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ficou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preso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lama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foi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encontrado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morto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local".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  <w:t>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líderes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colônia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identificaram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origem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[a causa]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o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problema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deles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como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forma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particularmente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vil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Bradford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chamou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"comunismo".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propriedade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Colônia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Plymouth,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ele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observou,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propriedade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cultivada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comunitariamente.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Esse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sistema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("tirar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[o direito] de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propriedade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[individual]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trazê-la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para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comunidade")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gerou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"confusão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descontentamento"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"retardou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muito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emprego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[pago]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teria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sido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para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benefício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conforto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colonos".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E64E9A" w:rsidRPr="0065043F">
        <w:rPr>
          <w:rFonts w:ascii="gotham b" w:eastAsia="Times New Roman" w:hAnsi="gotham b" w:cs="Times New Roman"/>
          <w:b/>
          <w:bCs/>
          <w:color w:val="111D22"/>
          <w:sz w:val="27"/>
          <w:szCs w:val="27"/>
          <w:highlight w:val="yellow"/>
        </w:rPr>
        <w:t>À beira do extermínio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  <w:t>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jovens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mais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capazes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forma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, que havia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Plymouth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,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consideravam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"injustiça"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eles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recebessem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mesmo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aqueles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"incapazes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fazer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a quarta parte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que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outro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[fazia]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mulheres,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enquanto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isso,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viram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tarefas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comunitárias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(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deveriam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desempenhar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para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outros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)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como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forma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"escravidão".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  <w:t>À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beira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extermínio,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líderes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Colônia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mudaram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curso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distribuíram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parcela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terra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para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cada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colono,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esperança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propriedade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privada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das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terras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encorajasse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autossuficiência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levasse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cultivo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mais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milho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outros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alimentos.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  <w:t>Como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Adam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Smith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teria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previsto,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esse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novo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sistema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funcionou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notoriamente.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"Isso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teve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sucesso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muito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bom",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relatou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Bradford,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"pois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tornava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todas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mãos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muito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diligentes".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fato,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"muito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mais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milho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foi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plantado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teria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sido</w:t>
      </w:r>
      <w:r>
        <w:rPr>
          <w:rFonts w:ascii="gotham b" w:eastAsia="Times New Roman" w:hAnsi="gotham b" w:cs="Times New Roman"/>
          <w:color w:val="111D22"/>
          <w:sz w:val="27"/>
          <w:szCs w:val="27"/>
        </w:rPr>
        <w:t xml:space="preserve"> [no comunismo]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produtividade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>
        <w:rPr>
          <w:rFonts w:ascii="gotham b" w:eastAsia="Times New Roman" w:hAnsi="gotham b" w:cs="Times New Roman"/>
          <w:color w:val="111D22"/>
          <w:sz w:val="27"/>
          <w:szCs w:val="27"/>
        </w:rPr>
        <w:t xml:space="preserve">[por hectare também]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aumentou.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"Mulheres",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por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exemplo,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"foram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voluntariamente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para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campo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levaram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seus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pequeninos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para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plantar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milho".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65043F">
        <w:rPr>
          <w:rFonts w:ascii="gotham b" w:eastAsia="Times New Roman" w:hAnsi="gotham b" w:cs="Times New Roman"/>
          <w:i/>
          <w:color w:val="111D22"/>
          <w:sz w:val="27"/>
          <w:szCs w:val="27"/>
          <w:u w:val="single"/>
        </w:rPr>
        <w:t xml:space="preserve">fome que quase varreu </w:t>
      </w:r>
      <w:r w:rsidR="0065043F" w:rsidRPr="0065043F">
        <w:rPr>
          <w:rFonts w:ascii="gotham b" w:eastAsia="Times New Roman" w:hAnsi="gotham b" w:cs="Times New Roman"/>
          <w:i/>
          <w:color w:val="111D22"/>
          <w:sz w:val="27"/>
          <w:szCs w:val="27"/>
          <w:u w:val="single"/>
        </w:rPr>
        <w:t xml:space="preserve">[quase matou a todos para não restar nenhuma pessoa] </w:t>
      </w:r>
      <w:r w:rsidR="00E64E9A" w:rsidRPr="0065043F">
        <w:rPr>
          <w:rFonts w:ascii="gotham b" w:eastAsia="Times New Roman" w:hAnsi="gotham b" w:cs="Times New Roman"/>
          <w:i/>
          <w:color w:val="111D22"/>
          <w:sz w:val="27"/>
          <w:szCs w:val="27"/>
          <w:u w:val="single"/>
        </w:rPr>
        <w:t>os peregrinos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1623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lugar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período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abundância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agrícola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que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permitiu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colonos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Massachusetts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estabelecer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raízes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permanentes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Novo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Mundo,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prosperar</w:t>
      </w:r>
      <w:r>
        <w:rPr>
          <w:rFonts w:ascii="gotham b" w:eastAsia="Times New Roman" w:hAnsi="gotham b" w:cs="Times New Roman"/>
          <w:color w:val="111D22"/>
          <w:sz w:val="27"/>
          <w:szCs w:val="27"/>
        </w:rPr>
        <w:t>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desempenhar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papel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indispensável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sucesso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final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experimento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americano.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  <w:t>Um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homem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profundamente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religioso,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Bradford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viu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mão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Deus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na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recuperação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econômica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dos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peregrinos.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sucesso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deles,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observou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ele,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"pode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muito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bem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65043F">
        <w:rPr>
          <w:rFonts w:ascii="gotham b" w:eastAsia="Times New Roman" w:hAnsi="gotham b" w:cs="Times New Roman"/>
          <w:i/>
          <w:color w:val="111D22"/>
          <w:sz w:val="27"/>
          <w:szCs w:val="27"/>
          <w:u w:val="single"/>
        </w:rPr>
        <w:t xml:space="preserve">evidenciar a vaidade </w:t>
      </w:r>
      <w:r w:rsidRPr="0065043F">
        <w:rPr>
          <w:rFonts w:ascii="gotham b" w:eastAsia="Times New Roman" w:hAnsi="gotham b" w:cs="Times New Roman"/>
          <w:i/>
          <w:color w:val="111D22"/>
          <w:sz w:val="27"/>
          <w:szCs w:val="27"/>
          <w:u w:val="single"/>
        </w:rPr>
        <w:t xml:space="preserve">[grande erro e tolice] </w:t>
      </w:r>
      <w:r w:rsidR="00E64E9A" w:rsidRPr="0065043F">
        <w:rPr>
          <w:rFonts w:ascii="gotham b" w:eastAsia="Times New Roman" w:hAnsi="gotham b" w:cs="Times New Roman"/>
          <w:i/>
          <w:color w:val="111D22"/>
          <w:sz w:val="27"/>
          <w:szCs w:val="27"/>
          <w:u w:val="single"/>
        </w:rPr>
        <w:t>dessa presunção ... de que tirar a propriedade [...] tornaria os homens felizes e florescentes; como se fossem mais sábios que Deus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Bradford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supôs: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"Deus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>
        <w:rPr>
          <w:rFonts w:ascii="gotham b" w:eastAsia="Times New Roman" w:hAnsi="gotham b" w:cs="Times New Roman"/>
          <w:color w:val="111D22"/>
          <w:sz w:val="27"/>
          <w:szCs w:val="27"/>
        </w:rPr>
        <w:t>S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ua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sabedoria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viu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outro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caminho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mais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adequado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para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eles".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  <w:t>Amém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a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t>isso.</w:t>
      </w:r>
      <w:r w:rsidR="00E64E9A">
        <w:rPr>
          <w:rFonts w:ascii="gotham b" w:eastAsia="Times New Roman" w:hAnsi="gotham b" w:cs="Times New Roman"/>
          <w:color w:val="111D22"/>
          <w:sz w:val="27"/>
          <w:szCs w:val="27"/>
        </w:rPr>
        <w:t xml:space="preserve"> </w:t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E64E9A" w:rsidRPr="00E64E9A">
        <w:rPr>
          <w:rFonts w:ascii="gotham b" w:eastAsia="Times New Roman" w:hAnsi="gotham b" w:cs="Times New Roman"/>
          <w:color w:val="111D22"/>
          <w:sz w:val="27"/>
          <w:szCs w:val="27"/>
        </w:rPr>
        <w:br/>
      </w:r>
      <w:r w:rsidR="00BD073E">
        <w:t>[... ... ...]</w:t>
      </w:r>
      <w:r w:rsidR="00BD073E">
        <w:br/>
      </w:r>
    </w:p>
    <w:sectPr w:rsidR="00E64E9A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otham b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560F6"/>
    <w:multiLevelType w:val="multilevel"/>
    <w:tmpl w:val="28A2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E64E9A"/>
    <w:rsid w:val="001506F5"/>
    <w:rsid w:val="0024214C"/>
    <w:rsid w:val="002D5079"/>
    <w:rsid w:val="00461379"/>
    <w:rsid w:val="00603803"/>
    <w:rsid w:val="0065043F"/>
    <w:rsid w:val="008D5FB4"/>
    <w:rsid w:val="00904F9B"/>
    <w:rsid w:val="00992EB1"/>
    <w:rsid w:val="00BD073E"/>
    <w:rsid w:val="00C57D4A"/>
    <w:rsid w:val="00DB244C"/>
    <w:rsid w:val="00E6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64E9A"/>
    <w:rPr>
      <w:b/>
      <w:bCs/>
    </w:rPr>
  </w:style>
  <w:style w:type="character" w:styleId="nfase">
    <w:name w:val="Emphasis"/>
    <w:basedOn w:val="Fontepargpadro"/>
    <w:uiPriority w:val="20"/>
    <w:qFormat/>
    <w:rsid w:val="00E64E9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613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ritage.org/markets-and-finance/commentary/pilgrims-beat-communism-free-mar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3</cp:revision>
  <dcterms:created xsi:type="dcterms:W3CDTF">2020-08-17T13:01:00Z</dcterms:created>
  <dcterms:modified xsi:type="dcterms:W3CDTF">2020-12-12T14:26:00Z</dcterms:modified>
</cp:coreProperties>
</file>