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E555C">
      <w:pPr>
        <w:pStyle w:val="Ttulo1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  <w:sz w:val="44"/>
          <w:szCs w:val="44"/>
          <w:u w:val="single"/>
        </w:rPr>
        <w:t>Eusébio de Cesaréia - Herege Pai do Catolicismo, que é Herético</w:t>
      </w:r>
    </w:p>
    <w:p w:rsidR="00000000" w:rsidRDefault="00FE555C">
      <w:pPr>
        <w:spacing w:after="240"/>
      </w:pPr>
    </w:p>
    <w:tbl>
      <w:tblPr>
        <w:tblW w:w="2654" w:type="pct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</w:tblGrid>
      <w:tr w:rsidR="00000000">
        <w:tc>
          <w:tcPr>
            <w:tcW w:w="5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E555C">
            <w:pPr>
              <w:spacing w:after="240"/>
            </w:pPr>
            <w:r>
              <w:rPr>
                <w:noProof/>
              </w:rPr>
              <w:drawing>
                <wp:inline distT="0" distB="0" distL="0" distR="0">
                  <wp:extent cx="4724400" cy="5762625"/>
                  <wp:effectExtent l="0" t="0" r="0" b="9525"/>
                  <wp:docPr id="1" name="Imagem 1" descr="http://kjv.landmarkbiblebaptist.net/Chart-KJV-Eusebius-Caesar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jv.landmarkbiblebaptist.net/Chart-KJV-Eusebius-Caesar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0" cy="576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FE555C">
      <w:r>
        <w:br/>
        <w:t>Eusébio de Cesaréia (263-339 AD) não conheceu Orígenes pessoalmente</w:t>
      </w:r>
      <w:r>
        <w:t xml:space="preserve">, mas tinha uma coleção de oitocentos de seus escritos. Eusébio relatou que Orígenes seguiu Mateus 19:12 literalmente e castrou a si mesmo. Ele era um ávido estudante [e seguidor] dos pontos de vista doutrinários de Orígenes. Como Orígenes, ele acreditava </w:t>
      </w:r>
      <w:r>
        <w:t>que Deus é a causa de todos os seres, mas de tal modo limitou o Filho que [em natureza e atributos] o distingue expressamente do Pai [tão infinitamente] como um raio é distinto do sol. A visão de Orígenes de Cristo, ensinou a subordinação [e inferioridade]</w:t>
      </w:r>
      <w:r>
        <w:t xml:space="preserve"> do Filho ao Pai roi a raiz do arianismo. Eusébio defendeu essa heresia que foi desenvolvida por Artius (256-336 AD).</w:t>
      </w:r>
      <w:r>
        <w:br/>
      </w:r>
      <w:r>
        <w:br/>
      </w:r>
      <w:r>
        <w:rPr>
          <w:rFonts w:ascii="Tahoma" w:hAnsi="Tahoma" w:cs="Tahoma"/>
          <w:sz w:val="22"/>
          <w:szCs w:val="22"/>
          <w:lang w:val="en-US"/>
        </w:rPr>
        <w:br/>
      </w:r>
      <w:r>
        <w:rPr>
          <w:rFonts w:ascii="Tahoma" w:hAnsi="Tahoma" w:cs="Tahoma"/>
          <w:sz w:val="22"/>
          <w:szCs w:val="22"/>
          <w:lang w:val="en-US"/>
        </w:rPr>
        <w:br/>
      </w:r>
      <w:hyperlink r:id="rId5" w:history="1">
        <w:r>
          <w:rPr>
            <w:rStyle w:val="Hyperlink"/>
            <w:rFonts w:ascii="Tahoma" w:hAnsi="Tahoma" w:cs="Tahoma"/>
            <w:sz w:val="22"/>
            <w:szCs w:val="22"/>
          </w:rPr>
          <w:t>http://kjv.landmarkbiblebaptist.net/Chart-KJV.html</w:t>
        </w:r>
      </w:hyperlink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>traduzido po</w:t>
      </w:r>
      <w:r>
        <w:rPr>
          <w:rFonts w:ascii="Tahoma" w:hAnsi="Tahoma" w:cs="Tahoma"/>
        </w:rPr>
        <w:t>r Valdenira N.M. Silva, maio.2015</w:t>
      </w:r>
    </w:p>
    <w:p w:rsidR="00000000" w:rsidRDefault="00FE555C">
      <w:r>
        <w:t> </w:t>
      </w:r>
    </w:p>
    <w:p w:rsidR="00000000" w:rsidRDefault="00FE555C">
      <w:r>
        <w:t>***********************************************************</w:t>
      </w:r>
      <w:r>
        <w:br/>
      </w:r>
      <w:r>
        <w:br/>
        <w:t>Adicionado depois:</w:t>
      </w:r>
      <w:r>
        <w:br/>
      </w:r>
      <w:r>
        <w:br/>
      </w:r>
      <w:r>
        <w:br/>
        <w:t xml:space="preserve">Respondo, com tranquilidade, aos ferrenhos admiradores de Eusébio que não gostaram das palavras acima (não minhas, mas de </w:t>
      </w:r>
      <w:hyperlink r:id="rId6" w:history="1">
        <w:r>
          <w:rPr>
            <w:rStyle w:val="Hyperlink"/>
          </w:rPr>
          <w:t>http://kjv.landmarkbiblebaptist.net/Chart-KJV.html</w:t>
        </w:r>
      </w:hyperlink>
      <w:r>
        <w:t xml:space="preserve"> ) e me escreveram educadamente reclamando e dizendo que Eusébio finalmente "virou a casaca" e, de grande apoiador da heresia de Arius, passou um ser contr</w:t>
      </w:r>
      <w:r>
        <w:t xml:space="preserve">a ela, e só isto é que importa (segundo eles). </w:t>
      </w:r>
      <w:r>
        <w:br/>
      </w:r>
      <w:r>
        <w:br/>
        <w:t>Sim, eu hoje tomei tempo para refrescar a memória, e li citações de Eusébio, e li seus melhores avaliadores dos dois lados, e reconheço que, segundo J.N.D. Kelly, Early Christian Doctrine, 2ª Edição,Harper &amp;</w:t>
      </w:r>
      <w:r>
        <w:t xml:space="preserve"> Row, Publishers (New York, Evanston e Londres, 1958, 1960), particularmente páginas 226-226:</w:t>
      </w:r>
    </w:p>
    <w:p w:rsidR="00000000" w:rsidRDefault="00FE555C">
      <w:pPr>
        <w:ind w:left="708"/>
      </w:pPr>
      <w:r>
        <w:br/>
        <w:t xml:space="preserve">Primeiro, embora Eusébio ocasional e timidamente reconheça a ideia de geração eterna, consistentemente se recusou a admitir que o Filho é </w:t>
      </w:r>
      <w:r>
        <w:rPr>
          <w:color w:val="FF0000"/>
          <w:u w:val="single"/>
        </w:rPr>
        <w:t>CO-ETERNO</w:t>
      </w:r>
      <w:r>
        <w:t xml:space="preserve"> com o Pai [et</w:t>
      </w:r>
      <w:r>
        <w:t xml:space="preserve">erno no mesmo grau e natureza de eternidade]. Ele é enfático ao dizer que, uma vez que o Pai, somente Ele, é </w:t>
      </w:r>
      <w:r>
        <w:rPr>
          <w:i/>
          <w:iCs/>
        </w:rPr>
        <w:t>agennetos</w:t>
      </w:r>
      <w:r>
        <w:t xml:space="preserve"> (não gerado), então "Todos devem admitir que o Pai é antes do Filho e existe antes do Filho". Por isso, ele rejeita a analogia entre a fo</w:t>
      </w:r>
      <w:r>
        <w:t xml:space="preserve">nte de luz e seu brilho (os raios luminosos que dela saem), ressaltando que o brilho existe simultaneamente com a luz, ao passo que o Pai </w:t>
      </w:r>
      <w:r>
        <w:rPr>
          <w:i/>
          <w:iCs/>
        </w:rPr>
        <w:t>precede</w:t>
      </w:r>
      <w:r>
        <w:t xml:space="preserve"> o Filho.</w:t>
      </w:r>
      <w:r>
        <w:br/>
      </w:r>
      <w:r>
        <w:br/>
        <w:t>Em segundo lugar, pelo menos na sua fase inicial ele ensinou que "</w:t>
      </w:r>
      <w:r>
        <w:rPr>
          <w:i/>
          <w:iCs/>
        </w:rPr>
        <w:t xml:space="preserve">a existência do Filho dependeu de </w:t>
      </w:r>
      <w:r>
        <w:rPr>
          <w:i/>
          <w:iCs/>
        </w:rPr>
        <w:t>um ato específico da vontade do Pai</w:t>
      </w:r>
      <w:r>
        <w:t>". (Note: se a existência do Filho dependeu da vontade do Pai, então Cristo não teria existido se Deus Pai não tivesse desejado e ordenado?). Após Eusébio ter se submetido a assinar o Credo Niceno-Constantinopolitano, tor</w:t>
      </w:r>
      <w:r>
        <w:t xml:space="preserve">nou-se mais discreto quanto a essa afirmativa, mas nunca negou explicitamente isso que antes ensinou, que a existência do Filho dependeu de um ato específico da vontade do Pai. </w:t>
      </w:r>
      <w:r>
        <w:br/>
      </w:r>
      <w:r>
        <w:br/>
        <w:t>Em terceiro lugar, deve-se mencionar que, não contente com se apropriar da do</w:t>
      </w:r>
      <w:r>
        <w:t xml:space="preserve">utrina do subordinacionismo de Orígenes [isto é, que o Filho é subordinado no sentido de inferior ao Pai] em todos os seus detalhes (por exemplo, a ideia de que o Filho, embora Deus, não é "Deus </w:t>
      </w:r>
      <w:r>
        <w:rPr>
          <w:i/>
          <w:iCs/>
        </w:rPr>
        <w:t>verdadeiro</w:t>
      </w:r>
      <w:r>
        <w:t>", Ele é somente Deus como a imagem do Deus único e</w:t>
      </w:r>
      <w:r>
        <w:t xml:space="preserve"> verdadeiro), Eusébio silenciosamente abandona suposição de seu mestre [Orígenes] de que o Pai e o Filho compartilham a mesma essência ou substância. Esta última doutrina, Eusébio estava convencido, forçosamente implica uma divisão da </w:t>
      </w:r>
      <w:r>
        <w:rPr>
          <w:i/>
          <w:iCs/>
        </w:rPr>
        <w:t>Mônada</w:t>
      </w:r>
      <w:r>
        <w:t xml:space="preserve"> indivisível [o</w:t>
      </w:r>
      <w:r>
        <w:t xml:space="preserve"> Deus único e indivisível], e, em qualquer caso, levaria ao absurdo de se postular dois seres não originados [e, cada um, o Criador de tudo que existe]. A unidade do Filho com o Pai, na exegese eusebiana de João 10:30, consistiria simplesmente no Filho com</w:t>
      </w:r>
      <w:r>
        <w:t>partilhar da glória do Pai; e Eusébio não tem medo de acrescentar que os santos também podem desfrutar precisamente o mesmo tipo de comunhão com o Pai.</w:t>
      </w:r>
      <w:r>
        <w:br/>
      </w:r>
      <w:r>
        <w:br/>
        <w:t>Em quarto lugar, Eusébio pensava do Espírito Santo como sendo menor do que quer o Pai ou o Filho, descr</w:t>
      </w:r>
      <w:r>
        <w:t xml:space="preserve">evendo-o como "em terceiro lugar", "um terceiro poder", e "terceiro da Causa Suprema" (Eusébio, </w:t>
      </w:r>
      <w:r>
        <w:rPr>
          <w:i/>
          <w:iCs/>
        </w:rPr>
        <w:t>Praeparatio Evangelica</w:t>
      </w:r>
      <w:r>
        <w:t xml:space="preserve"> (Preparação para o Evangelho), 11,20.)</w:t>
      </w:r>
      <w:r>
        <w:br/>
      </w:r>
      <w:r>
        <w:br/>
      </w:r>
      <w:r>
        <w:br/>
        <w:t>Fatos históricos:</w:t>
      </w:r>
      <w:r>
        <w:br/>
        <w:t>Em algum momento dos primeiros meses de 325 dC, na Palestina - Hosius, um repr</w:t>
      </w:r>
      <w:r>
        <w:t>esentante do imperador Constantino, preside um conselho anti-Ariano em Antioquia. Este conselho condena (!) Eusébio de Cesaréia por ser um simpatizante de Arius.</w:t>
      </w:r>
      <w:r>
        <w:br/>
      </w:r>
      <w:r>
        <w:br/>
        <w:t>Em algum momento depois, mas ainda no primeiro semestre de 325 dC, na Palestina - Um pronunci</w:t>
      </w:r>
      <w:r>
        <w:t>amento do Sínodo de Tiro e de Jerusalém restaura Arius e seus amigos à comunhão com a Igreja. Ambos Eusébio de Cesareia e Eusébio de Nicomédia têm papéis principais neste Sínodo.</w:t>
      </w:r>
    </w:p>
    <w:p w:rsidR="00000000" w:rsidRDefault="00FE555C">
      <w:r>
        <w:br/>
      </w:r>
      <w:r>
        <w:br/>
      </w:r>
      <w:r>
        <w:br/>
      </w:r>
      <w:r>
        <w:br/>
      </w:r>
      <w:r>
        <w:br/>
        <w:t>Mas eu, Hélio, também reconheço que, próximo ao final do grande Concílio</w:t>
      </w:r>
      <w:r>
        <w:t xml:space="preserve"> de Nicéia (em 25 de agosto do ano 325 dC), quando se tornou evidente que o imperador Constantino [corretamente] NÃO favorecia as posições de Arius, e que o imperador e a maioria dos bispos pressionavam contra elas, e que Arius ia perder a disputa e entrar</w:t>
      </w:r>
      <w:r>
        <w:t xml:space="preserve"> em desgraça, então </w:t>
      </w:r>
      <w:r>
        <w:br/>
        <w:t xml:space="preserve">Eusébio "mudou de casaca", tanto que, tempos depois, faz a [correta] declaração de que </w:t>
      </w:r>
      <w:r>
        <w:rPr>
          <w:color w:val="FF0000"/>
          <w:sz w:val="24"/>
          <w:szCs w:val="24"/>
        </w:rPr>
        <w:t>"</w:t>
      </w:r>
      <w:r>
        <w:rPr>
          <w:b/>
          <w:bCs/>
          <w:color w:val="FF0000"/>
          <w:sz w:val="24"/>
          <w:szCs w:val="24"/>
        </w:rPr>
        <w:t xml:space="preserve">a afirmativa '.... </w:t>
      </w:r>
      <w:r>
        <w:rPr>
          <w:b/>
          <w:bCs/>
          <w:i/>
          <w:iCs/>
          <w:color w:val="FF0000"/>
          <w:sz w:val="24"/>
          <w:szCs w:val="24"/>
        </w:rPr>
        <w:t xml:space="preserve">em ambos os lados de poder supremo do Pai, Ele supre os </w:t>
      </w:r>
      <w:r>
        <w:rPr>
          <w:b/>
          <w:bCs/>
          <w:i/>
          <w:iCs/>
          <w:color w:val="FF0000"/>
          <w:sz w:val="24"/>
          <w:szCs w:val="24"/>
        </w:rPr>
        <w:t>raios secundários de luz, tanto para Cristo, como para o Espírito Santo</w:t>
      </w:r>
      <w:r>
        <w:rPr>
          <w:b/>
          <w:bCs/>
          <w:color w:val="FF0000"/>
          <w:sz w:val="24"/>
          <w:szCs w:val="24"/>
        </w:rPr>
        <w:t>', coloca uma pessoa da Trindade acima das outras duas, e é, assim, herética."</w:t>
      </w:r>
      <w:r>
        <w:rPr>
          <w:color w:val="FF0000"/>
          <w:sz w:val="24"/>
          <w:szCs w:val="24"/>
        </w:rPr>
        <w:t xml:space="preserve"> </w:t>
      </w:r>
      <w:r>
        <w:t xml:space="preserve">Eusébio, </w:t>
      </w:r>
      <w:r>
        <w:rPr>
          <w:i/>
          <w:iCs/>
        </w:rPr>
        <w:t>The History of the Church</w:t>
      </w:r>
      <w:r>
        <w:t>, 10: 4.</w:t>
      </w:r>
      <w:r>
        <w:br/>
      </w:r>
      <w:r>
        <w:br/>
        <w:t>Finalmente, cada um está livre para depositar toda sua ferrenh</w:t>
      </w:r>
      <w:r>
        <w:t>a admiração, sua confiança, em qualquer ser humano que quiser. Mas eu não tenho nenhuma confiança em quem, já homem adulto e até ancião, com máxima educação, um aclamado líder espiritual, pensadamente, por um longo tempo defende fervorosamente uma ideia, "</w:t>
      </w:r>
      <w:r>
        <w:t xml:space="preserve">apostando" nela; mas, depois que vê que vai entrar em desgraça e perder sua posição, então muda para o exato oposto e é coroado com vantagens e elevado a altas posições, por causa de sua mudança. </w:t>
      </w:r>
      <w:r>
        <w:br/>
        <w:t xml:space="preserve">Não posso afirmar com certeza que seu coração é mentiroso, </w:t>
      </w:r>
      <w:r>
        <w:t>mas não tenho que confiar em Eusébio, em nada. No mínimo (se é que não foi um herege que se amedrontou e escondeu sua heresia, por conveniência), ele foi um fraco, inconsistente e contraditório. Em qualquer das hipóteses, da minha parte não lhe dou nenhuma</w:t>
      </w:r>
      <w:r>
        <w:t xml:space="preserve"> admiração nem nenhuma confiança. Em nada.</w:t>
      </w:r>
      <w:r>
        <w:br/>
      </w:r>
      <w:r>
        <w:br/>
      </w:r>
      <w:r>
        <w:br/>
      </w:r>
      <w:r>
        <w:br/>
      </w:r>
      <w:r>
        <w:br/>
      </w:r>
      <w:r>
        <w:br/>
        <w:t>Hélio.</w:t>
      </w:r>
    </w:p>
    <w:p w:rsidR="00FE555C" w:rsidRDefault="00FE555C">
      <w:r>
        <w:t> </w:t>
      </w:r>
    </w:p>
    <w:sectPr w:rsidR="00FE55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59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A5"/>
    <w:rsid w:val="003D05A5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3F77A-A66F-431B-98CE-7B5B6147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egoe UI Semibold" w:eastAsiaTheme="minorEastAsia" w:hAnsi="Segoe UI Semibold" w:cs="Segoe UI Semibold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480"/>
      <w:outlineLvl w:val="0"/>
    </w:pPr>
    <w:rPr>
      <w:rFonts w:ascii="Cambria" w:hAnsi="Cambria" w:cs="Times New Roman"/>
      <w:b/>
      <w:bCs/>
      <w:color w:val="365F91"/>
      <w:kern w:val="36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Cambria" w:hAnsi="Cambria" w:hint="default"/>
      <w:b/>
      <w:bCs/>
      <w:color w:val="365F91"/>
    </w:rPr>
  </w:style>
  <w:style w:type="character" w:styleId="Forte">
    <w:name w:val="Strong"/>
    <w:basedOn w:val="Fontepargpadro"/>
    <w:uiPriority w:val="22"/>
    <w:qFormat/>
    <w:rPr>
      <w:rFonts w:ascii="Arial Black" w:hAnsi="Arial Black" w:hint="default"/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ind w:firstLine="142"/>
    </w:pPr>
    <w:rPr>
      <w:rFonts w:ascii="Times New Roman" w:hAnsi="Times New Roman" w:cs="Times New Roman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hAnsi="Times New Roman" w:cs="Times New Roman" w:hint="default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 w:hint="default"/>
    </w:rPr>
  </w:style>
  <w:style w:type="paragraph" w:customStyle="1" w:styleId="CapituloLTT">
    <w:name w:val="Capitulo LTT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ituloLTTCxSpFirst">
    <w:name w:val="Capitulo LTTCxSpFirst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ituloLTTCxSpMiddle">
    <w:name w:val="Capitulo LTTCxSpMiddle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ituloLTTCxSpLast">
    <w:name w:val="Capitulo LTTCxSpLast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tuloLTT">
    <w:name w:val="Capítulo LTT"/>
    <w:basedOn w:val="Normal"/>
    <w:pPr>
      <w:jc w:val="center"/>
    </w:pPr>
    <w:rPr>
      <w:rFonts w:ascii="Times New Roman" w:hAnsi="Times New Roman" w:cs="Times New Roman"/>
      <w:b/>
      <w:bCs/>
      <w:i/>
      <w:iCs/>
      <w:u w:val="single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jv.landmarkbiblebaptist.net/Chart-KJV.html" TargetMode="External"/><Relationship Id="rId5" Type="http://schemas.openxmlformats.org/officeDocument/2006/relationships/hyperlink" Target="http://kjv.landmarkbiblebaptist.net/Chart-KJV.html" TargetMode="External"/><Relationship Id="rId4" Type="http://schemas.openxmlformats.org/officeDocument/2006/relationships/image" Target="file:///D:\HELIO\IGREJA\0\SoScrip-EmCONSTRUCAO\PessoasNosSeculos\EusebioDeCesareia-PaiCatolicismoHeretico-KjvLandmarkBB_arquivos\image001.jp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Eusébio de Cesaréia - Herege Pai do Catolicismo, que é Herético</vt:lpstr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Eusébio de Cesaréia - Herege Pai do Catolicismo, que é Herético</dc:title>
  <dc:subject/>
  <dc:creator>Hélio de Menezes Silva</dc:creator>
  <cp:keywords/>
  <dc:description/>
  <cp:lastModifiedBy>Hélio de Menezes Silva</cp:lastModifiedBy>
  <cp:revision>2</cp:revision>
  <dcterms:created xsi:type="dcterms:W3CDTF">2018-12-14T19:53:00Z</dcterms:created>
  <dcterms:modified xsi:type="dcterms:W3CDTF">2018-12-14T19:53:00Z</dcterms:modified>
</cp:coreProperties>
</file>