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C4E" w:rsidRPr="00B01C4E" w:rsidRDefault="00B01C4E" w:rsidP="00B01C4E">
      <w:pPr>
        <w:pStyle w:val="Ttulo1"/>
        <w:rPr>
          <w:rFonts w:ascii="Times New Roman" w:hAnsi="Times New Roman"/>
          <w:color w:val="222222"/>
          <w:w w:val="100"/>
          <w:lang w:eastAsia="pt-BR"/>
        </w:rPr>
      </w:pPr>
      <w:r w:rsidRPr="00B01C4E">
        <w:rPr>
          <w:w w:val="100"/>
          <w:shd w:val="clear" w:color="auto" w:fill="FDFDFD"/>
          <w:lang w:eastAsia="pt-BR"/>
        </w:rPr>
        <w:t>"</w:t>
      </w:r>
      <w:bookmarkStart w:id="0" w:name="_GoBack"/>
      <w:r w:rsidRPr="00B01C4E">
        <w:rPr>
          <w:w w:val="100"/>
          <w:shd w:val="clear" w:color="auto" w:fill="FDFDFD"/>
          <w:lang w:eastAsia="pt-BR"/>
        </w:rPr>
        <w:t xml:space="preserve">Quem </w:t>
      </w:r>
      <w:r w:rsidR="00A61670" w:rsidRPr="00B01C4E">
        <w:rPr>
          <w:w w:val="100"/>
          <w:shd w:val="clear" w:color="auto" w:fill="FDFDFD"/>
          <w:lang w:eastAsia="pt-BR"/>
        </w:rPr>
        <w:t xml:space="preserve">Vai Ocupar O </w:t>
      </w:r>
      <w:r w:rsidRPr="00B01C4E">
        <w:rPr>
          <w:w w:val="100"/>
          <w:shd w:val="clear" w:color="auto" w:fill="FDFDFD"/>
          <w:lang w:eastAsia="pt-BR"/>
        </w:rPr>
        <w:t>Reino Milenar</w:t>
      </w:r>
      <w:bookmarkEnd w:id="0"/>
      <w:r w:rsidRPr="00B01C4E">
        <w:rPr>
          <w:w w:val="100"/>
          <w:shd w:val="clear" w:color="auto" w:fill="FDFDFD"/>
          <w:lang w:eastAsia="pt-BR"/>
        </w:rPr>
        <w:t>?"</w:t>
      </w:r>
    </w:p>
    <w:p w:rsidR="00B01C4E" w:rsidRPr="00B01C4E" w:rsidRDefault="00B01C4E" w:rsidP="00B01C4E">
      <w:pPr>
        <w:shd w:val="clear" w:color="auto" w:fill="FFFFFF"/>
        <w:spacing w:line="240" w:lineRule="auto"/>
        <w:rPr>
          <w:rFonts w:ascii="Times New Roman" w:eastAsia="Times New Roman" w:hAnsi="Times New Roman"/>
          <w:color w:val="222222"/>
          <w:spacing w:val="0"/>
          <w:w w:val="100"/>
          <w:sz w:val="24"/>
          <w:szCs w:val="24"/>
          <w:lang w:eastAsia="pt-BR"/>
        </w:rPr>
      </w:pPr>
    </w:p>
    <w:p w:rsidR="00B01C4E" w:rsidRPr="00B01C4E" w:rsidRDefault="00B01C4E" w:rsidP="00B01C4E">
      <w:pPr>
        <w:shd w:val="clear" w:color="auto" w:fill="FFFFFF"/>
        <w:spacing w:line="240" w:lineRule="auto"/>
        <w:rPr>
          <w:rFonts w:ascii="Times New Roman" w:eastAsia="Times New Roman" w:hAnsi="Times New Roman"/>
          <w:color w:val="222222"/>
          <w:spacing w:val="0"/>
          <w:w w:val="100"/>
          <w:sz w:val="24"/>
          <w:szCs w:val="24"/>
          <w:lang w:eastAsia="pt-BR"/>
        </w:rPr>
      </w:pPr>
    </w:p>
    <w:p w:rsidR="00B01C4E" w:rsidRPr="00B01C4E" w:rsidRDefault="00B01C4E" w:rsidP="00B01C4E">
      <w:pPr>
        <w:shd w:val="clear" w:color="auto" w:fill="FFFFFF"/>
        <w:spacing w:line="240" w:lineRule="auto"/>
        <w:rPr>
          <w:rFonts w:ascii="Trebuchet MS" w:eastAsia="Times New Roman" w:hAnsi="Trebuchet MS"/>
          <w:b/>
          <w:bCs/>
          <w:color w:val="252525"/>
          <w:spacing w:val="0"/>
          <w:w w:val="100"/>
          <w:sz w:val="24"/>
          <w:szCs w:val="24"/>
          <w:lang w:eastAsia="pt-BR"/>
        </w:rPr>
      </w:pPr>
      <w:hyperlink r:id="rId4" w:tgtFrame="_blank" w:history="1">
        <w:proofErr w:type="spellStart"/>
        <w:r w:rsidRPr="00B01C4E">
          <w:rPr>
            <w:rFonts w:ascii="Times New Roman" w:eastAsia="Times New Roman" w:hAnsi="Times New Roman"/>
            <w:b/>
            <w:bCs/>
            <w:color w:val="338FE9"/>
            <w:spacing w:val="0"/>
            <w:w w:val="100"/>
            <w:sz w:val="24"/>
            <w:szCs w:val="24"/>
            <w:u w:val="single"/>
            <w:shd w:val="clear" w:color="auto" w:fill="FDEF2B"/>
            <w:lang w:eastAsia="pt-BR"/>
          </w:rPr>
          <w:t>Bible</w:t>
        </w:r>
        <w:proofErr w:type="spellEnd"/>
        <w:r w:rsidRPr="00B01C4E">
          <w:rPr>
            <w:rFonts w:ascii="Times New Roman" w:eastAsia="Times New Roman" w:hAnsi="Times New Roman"/>
            <w:b/>
            <w:bCs/>
            <w:color w:val="338FE9"/>
            <w:spacing w:val="0"/>
            <w:w w:val="100"/>
            <w:sz w:val="24"/>
            <w:szCs w:val="24"/>
            <w:u w:val="single"/>
            <w:shd w:val="clear" w:color="auto" w:fill="FDEF2B"/>
            <w:lang w:eastAsia="pt-BR"/>
          </w:rPr>
          <w:t xml:space="preserve"> </w:t>
        </w:r>
        <w:proofErr w:type="spellStart"/>
        <w:r w:rsidRPr="00B01C4E">
          <w:rPr>
            <w:rFonts w:ascii="Times New Roman" w:eastAsia="Times New Roman" w:hAnsi="Times New Roman"/>
            <w:b/>
            <w:bCs/>
            <w:color w:val="338FE9"/>
            <w:spacing w:val="0"/>
            <w:w w:val="100"/>
            <w:sz w:val="24"/>
            <w:szCs w:val="24"/>
            <w:u w:val="single"/>
            <w:shd w:val="clear" w:color="auto" w:fill="FDEF2B"/>
            <w:lang w:eastAsia="pt-BR"/>
          </w:rPr>
          <w:t>Questions</w:t>
        </w:r>
        <w:proofErr w:type="spellEnd"/>
        <w:r w:rsidRPr="00B01C4E">
          <w:rPr>
            <w:rFonts w:ascii="Times New Roman" w:eastAsia="Times New Roman" w:hAnsi="Times New Roman"/>
            <w:b/>
            <w:bCs/>
            <w:color w:val="338FE9"/>
            <w:spacing w:val="0"/>
            <w:w w:val="100"/>
            <w:sz w:val="24"/>
            <w:szCs w:val="24"/>
            <w:u w:val="single"/>
            <w:shd w:val="clear" w:color="auto" w:fill="FDEF2B"/>
            <w:lang w:eastAsia="pt-BR"/>
          </w:rPr>
          <w:t xml:space="preserve"> </w:t>
        </w:r>
        <w:proofErr w:type="spellStart"/>
        <w:r w:rsidRPr="00B01C4E">
          <w:rPr>
            <w:rFonts w:ascii="Times New Roman" w:eastAsia="Times New Roman" w:hAnsi="Times New Roman"/>
            <w:b/>
            <w:bCs/>
            <w:color w:val="338FE9"/>
            <w:spacing w:val="0"/>
            <w:w w:val="100"/>
            <w:sz w:val="24"/>
            <w:szCs w:val="24"/>
            <w:u w:val="single"/>
            <w:shd w:val="clear" w:color="auto" w:fill="FDEF2B"/>
            <w:lang w:eastAsia="pt-BR"/>
          </w:rPr>
          <w:t>Answered</w:t>
        </w:r>
        <w:proofErr w:type="spellEnd"/>
        <w:r w:rsidRPr="00B01C4E">
          <w:rPr>
            <w:rFonts w:ascii="Times New Roman" w:eastAsia="Times New Roman" w:hAnsi="Times New Roman"/>
            <w:b/>
            <w:bCs/>
            <w:color w:val="338FE9"/>
            <w:spacing w:val="0"/>
            <w:w w:val="100"/>
            <w:sz w:val="24"/>
            <w:szCs w:val="24"/>
            <w:u w:val="single"/>
            <w:shd w:val="clear" w:color="auto" w:fill="FDEF2B"/>
            <w:lang w:eastAsia="pt-BR"/>
          </w:rPr>
          <w:t xml:space="preserve"> | GotQuestions.org</w:t>
        </w:r>
      </w:hyperlink>
    </w:p>
    <w:p w:rsidR="00B01C4E" w:rsidRPr="00B01C4E" w:rsidRDefault="00B01C4E" w:rsidP="00B01C4E">
      <w:pPr>
        <w:shd w:val="clear" w:color="auto" w:fill="FDFDFD"/>
        <w:spacing w:line="240" w:lineRule="auto"/>
        <w:rPr>
          <w:rFonts w:ascii="Times New Roman" w:eastAsia="Times New Roman" w:hAnsi="Times New Roman"/>
          <w:spacing w:val="0"/>
          <w:w w:val="100"/>
          <w:sz w:val="24"/>
          <w:szCs w:val="24"/>
          <w:lang w:eastAsia="pt-BR"/>
        </w:rPr>
      </w:pPr>
    </w:p>
    <w:p w:rsidR="00B01C4E" w:rsidRPr="00B01C4E" w:rsidRDefault="00B01C4E" w:rsidP="00B01C4E">
      <w:pPr>
        <w:shd w:val="clear" w:color="auto" w:fill="FDFDFD"/>
        <w:spacing w:line="240" w:lineRule="auto"/>
        <w:rPr>
          <w:rFonts w:ascii="Trebuchet MS" w:eastAsia="Times New Roman" w:hAnsi="Trebuchet MS"/>
          <w:b/>
          <w:bCs/>
          <w:color w:val="252525"/>
          <w:spacing w:val="0"/>
          <w:w w:val="100"/>
          <w:sz w:val="24"/>
          <w:szCs w:val="24"/>
          <w:lang w:eastAsia="pt-BR"/>
        </w:rPr>
      </w:pPr>
      <w:r w:rsidRPr="00B01C4E">
        <w:rPr>
          <w:rFonts w:ascii="Trebuchet MS" w:eastAsia="Times New Roman" w:hAnsi="Trebuchet MS"/>
          <w:b/>
          <w:bCs/>
          <w:color w:val="252525"/>
          <w:spacing w:val="0"/>
          <w:w w:val="100"/>
          <w:sz w:val="24"/>
          <w:szCs w:val="24"/>
          <w:shd w:val="clear" w:color="auto" w:fill="FDFDFD"/>
          <w:lang w:eastAsia="pt-BR"/>
        </w:rPr>
        <w:t>Resposta: </w:t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lang w:eastAsia="pt-BR"/>
        </w:rPr>
        <w:t>Haverá dois grupos distintos que ocuparão a terra durante o Reino Milenar – aqueles com corpos glorificados e os com corpos terrestres que viverem durante a Tribulação e entrarem no Reino Milenar. Aqueles com corpos glorificados consistem da Igreja</w:t>
      </w:r>
      <w:r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lang w:eastAsia="pt-BR"/>
        </w:rPr>
        <w:t xml:space="preserve"> </w:t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vertAlign w:val="superscript"/>
          <w:lang w:eastAsia="pt-BR"/>
        </w:rPr>
        <w:t xml:space="preserve">[nota de Hélio: sim, </w:t>
      </w:r>
      <w:r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vertAlign w:val="superscript"/>
          <w:lang w:eastAsia="pt-BR"/>
        </w:rPr>
        <w:t xml:space="preserve">os crentes da dispensação da igrejas locais estarão em corpos glorificados; sim, os salvos do VT e da 70a Semana de Daniel que tiverem morrido, terão sido ressuscitados em corpos glorificados; sim, ambos esses grandes grupos são família de Deus, são filhos de Deus. Mas onde, na Bíblia, são eles amalgamados em um só grupo sem distinções? Onde são eles chamados de a igreja </w:t>
      </w:r>
      <w:r w:rsidR="00A61670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vertAlign w:val="superscript"/>
          <w:lang w:eastAsia="pt-BR"/>
        </w:rPr>
        <w:t>[universal?</w:t>
      </w:r>
      <w:proofErr w:type="gramStart"/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vertAlign w:val="superscript"/>
          <w:lang w:eastAsia="pt-BR"/>
        </w:rPr>
        <w:t xml:space="preserve">] </w:t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lang w:eastAsia="pt-BR"/>
        </w:rPr>
        <w:t>,</w:t>
      </w:r>
      <w:proofErr w:type="gramEnd"/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lang w:eastAsia="pt-BR"/>
        </w:rPr>
        <w:t xml:space="preserve"> a qual receberá corpos glorificados no Arrebatamento (1 Tessalonicenses 4:13-18, 1 Coríntios 15:21-23, 51-53), e os que são ressuscitados depois da volta de Cristo à terra (Apocalipse 20:4-6). Os que têm corpos terrestres podem ser subdivididos em dois grupos: os crentes gentios e os crentes judeus (Israel).</w:t>
      </w:r>
    </w:p>
    <w:p w:rsidR="00B01C4E" w:rsidRPr="00B01C4E" w:rsidRDefault="00B01C4E" w:rsidP="00B01C4E">
      <w:pPr>
        <w:shd w:val="clear" w:color="auto" w:fill="FFFFFF"/>
        <w:spacing w:line="240" w:lineRule="auto"/>
        <w:rPr>
          <w:rFonts w:ascii="Times New Roman" w:eastAsia="Times New Roman" w:hAnsi="Times New Roman"/>
          <w:color w:val="222222"/>
          <w:spacing w:val="0"/>
          <w:w w:val="100"/>
          <w:sz w:val="24"/>
          <w:szCs w:val="24"/>
          <w:lang w:eastAsia="pt-BR"/>
        </w:rPr>
      </w:pP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lang w:eastAsia="pt-BR"/>
        </w:rPr>
        <w:br/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shd w:val="clear" w:color="auto" w:fill="FDFDFD"/>
          <w:lang w:eastAsia="pt-BR"/>
        </w:rPr>
        <w:t>Em Apocalipse 19:11-16, encontramos o retorno de Jesus Cristo à terra, conhecido também como a Sua segunda vinda. O Arrebatamento (1 Tessalonicenses 4:13-18, 1 Coríntios 15:51-53) é uma aparição de Cristo no ar e não deve ser confundido com a Sua segunda vinda – os dois são eventos distintos. Não há menção em Apocalipse 19-20 de qualquer tipo de evento de arrebatamento. A implicação é que os santos que estão na terra quando Cristo voltar permanecerão na terra para entrarem no Reino Milenar com os seus corpos naturais. Se o Arrebatamento ou qualquer tipo de evento onde um crente vivo recebe um corpo glorificado fizesse parte da segunda vinda de Cristo à terra, seria de se esperar encontrar referência a um evento tão importante em Apocalipse 19. No entanto, tal referência não pode ser encontrada. O único evento que resulta em crentes recebendo corpos glorificados é encontrado em Apocalipse 20:4-6, onde aqueles que se tornaram crentes durante a Tribulação e foram mortos por causa de sua fé são ressuscitados. Acredita-se também que neste mesmo tempo os santos do Antigo Testamento serão ressuscitados, também recebendo corpos glorificados (ver Daniel 12:2).</w:t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lang w:eastAsia="pt-BR"/>
        </w:rPr>
        <w:br/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lang w:eastAsia="pt-BR"/>
        </w:rPr>
        <w:br/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shd w:val="clear" w:color="auto" w:fill="FDFDFD"/>
          <w:lang w:eastAsia="pt-BR"/>
        </w:rPr>
        <w:t>Mateus 25:31-46 é uma outra passagem que deve ser considerada. Esta passagem é comumente chamada de separação ou julgamento das ovelhas e dos cabritos. As ovelhas e cabritos se referem aos gentios justos e injustos. Cristo julgará os gentios injustos (cabritos), lançando-os no lago de fogo para o castigo eterno</w:t>
      </w:r>
      <w:r w:rsidR="00A61670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shd w:val="clear" w:color="auto" w:fill="FDFDFD"/>
          <w:lang w:eastAsia="pt-BR"/>
        </w:rPr>
        <w:t xml:space="preserve"> [</w:t>
      </w:r>
      <w:r w:rsidR="00A61670" w:rsidRPr="00A61670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shd w:val="clear" w:color="auto" w:fill="FDFDFD"/>
          <w:vertAlign w:val="superscript"/>
          <w:lang w:eastAsia="pt-BR"/>
        </w:rPr>
        <w:t>Nota de Hélio: a passagem usa a expressão "castigo eterno" mas não "Lago de Fogo"]</w:t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shd w:val="clear" w:color="auto" w:fill="FDFDFD"/>
          <w:vertAlign w:val="superscript"/>
          <w:lang w:eastAsia="pt-BR"/>
        </w:rPr>
        <w:t xml:space="preserve"> </w:t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shd w:val="clear" w:color="auto" w:fill="FDFDFD"/>
          <w:lang w:eastAsia="pt-BR"/>
        </w:rPr>
        <w:t>(Mateus 25:46). Portanto, nenhum gentio descrente sobreviverá para viver durante o Reino Milenar. Os gentios justos, ou ovelhas, viverão durante o Reino Milenar. Eles vão dar à luz filhos e povoar a terra. No entanto, estes não são os únicos que terão filhos durante o Reino Milenar.</w:t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lang w:eastAsia="pt-BR"/>
        </w:rPr>
        <w:br/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lang w:eastAsia="pt-BR"/>
        </w:rPr>
        <w:br/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shd w:val="clear" w:color="auto" w:fill="FDFDFD"/>
          <w:lang w:eastAsia="pt-BR"/>
        </w:rPr>
        <w:t>Dá-se a impressão de que quando Cristo voltar, toda a nação de Israel confiará nEle (Zacarias 12:10). Eles não receberão corpos glorificados (como fizeram aqueles que foram arrebatados antes da Tribulação e os que ressuscitaram depois), mas também terão filhos durante o Reino Milenar.</w:t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lang w:eastAsia="pt-BR"/>
        </w:rPr>
        <w:br/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lang w:eastAsia="pt-BR"/>
        </w:rPr>
        <w:br/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shd w:val="clear" w:color="auto" w:fill="FDFDFD"/>
          <w:lang w:eastAsia="pt-BR"/>
        </w:rPr>
        <w:t>Então, crentes gentios, Israel e os crentes ressuscitados/arrebatados (todos os quais têm corpos glorificados) vão ocupar a terra. Deve-se notar, no entanto, que os crentes com corpos glorificados não terão filhos. Não há casamento depois desta vida (Mateus 22:30).</w:t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lang w:eastAsia="pt-BR"/>
        </w:rPr>
        <w:br/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lang w:eastAsia="pt-BR"/>
        </w:rPr>
        <w:br/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shd w:val="clear" w:color="auto" w:fill="FDFDFD"/>
          <w:lang w:eastAsia="pt-BR"/>
        </w:rPr>
        <w:t>As crianças nascidas durante o Reino Milenar terão a responsabilidade de fé em Cristo, assim como todas as pessoas dos séculos passados têm feito (fé em Cristo desde a Sua vinda; fé em Deus antes -- Gênesis 15:2-6; Habacuque 2:4; Romanos 3:20). Infelizmente, nem todas as crianças que nascerem durante o Reino Milenar terão fé em Cristo. Aquelas que o rejeitarem serão levadas por Satanás em rebelião contra Deus no final do Reino Milenar, quando Satanás é solto por um curto período de tempo (Apocalipse 20:7-10).</w:t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lang w:eastAsia="pt-BR"/>
        </w:rPr>
        <w:br/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lang w:eastAsia="pt-BR"/>
        </w:rPr>
        <w:br/>
      </w:r>
      <w:r w:rsidRPr="00B01C4E">
        <w:rPr>
          <w:rFonts w:ascii="Trebuchet MS" w:eastAsia="Times New Roman" w:hAnsi="Trebuchet MS"/>
          <w:color w:val="252525"/>
          <w:spacing w:val="0"/>
          <w:w w:val="100"/>
          <w:sz w:val="24"/>
          <w:szCs w:val="24"/>
          <w:shd w:val="clear" w:color="auto" w:fill="FDFDFD"/>
          <w:lang w:eastAsia="pt-BR"/>
        </w:rPr>
        <w:t>Para um estudo mais aprofundado sobre este assunto (de quem vai viver no Reino Milenar), dê uma olhada também nas seguintes passagens: Isaías 2:2-4; Zacarias 14:8-21, Ezequiel 34:17-24, Daniel 7:13-14; Miqueias 4:1-5.</w:t>
      </w:r>
    </w:p>
    <w:p w:rsidR="00DA575C" w:rsidRDefault="00DA575C"/>
    <w:sectPr w:rsidR="00DA575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4E"/>
    <w:rsid w:val="000B6EF7"/>
    <w:rsid w:val="000C656D"/>
    <w:rsid w:val="004300E4"/>
    <w:rsid w:val="00771F88"/>
    <w:rsid w:val="00A61670"/>
    <w:rsid w:val="00B01C4E"/>
    <w:rsid w:val="00DA575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C8CB"/>
  <w15:chartTrackingRefBased/>
  <w15:docId w15:val="{6D757125-24AE-4DA0-9077-911995B0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Forte">
    <w:name w:val="Strong"/>
    <w:basedOn w:val="Fontepargpadro"/>
    <w:uiPriority w:val="22"/>
    <w:qFormat/>
    <w:rsid w:val="00B01C4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01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tquestions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665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2019-10-21T20:20:00Z</dcterms:created>
  <dcterms:modified xsi:type="dcterms:W3CDTF">2019-10-21T20:36:00Z</dcterms:modified>
</cp:coreProperties>
</file>