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750" w:rsidRPr="00F41750" w:rsidRDefault="00F41750" w:rsidP="00F41750">
      <w:pPr>
        <w:pStyle w:val="Ttulo1"/>
        <w:rPr>
          <w:w w:val="100"/>
          <w:lang w:eastAsia="pt-BR"/>
        </w:rPr>
      </w:pPr>
      <w:r w:rsidRPr="00F41750">
        <w:rPr>
          <w:w w:val="100"/>
          <w:lang w:eastAsia="pt-BR"/>
        </w:rPr>
        <w:t>Um Pioneiro do Arrebatamento P</w:t>
      </w:r>
      <w:bookmarkStart w:id="0" w:name="_GoBack"/>
      <w:bookmarkEnd w:id="0"/>
      <w:r w:rsidRPr="00F41750">
        <w:rPr>
          <w:w w:val="100"/>
          <w:lang w:eastAsia="pt-BR"/>
        </w:rPr>
        <w:t>ré-Tribulacionista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</w:pPr>
      <w:r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t>[</w:t>
      </w:r>
      <w:proofErr w:type="spellStart"/>
      <w:r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t>Brookes</w:t>
      </w:r>
      <w:proofErr w:type="spellEnd"/>
      <w:r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t xml:space="preserve">, Proeminente Presbiteriano, Foi Literalista-Dispensacionalista, Pré-Milenarista, Pré-Tribulacionista, </w:t>
      </w:r>
      <w:r w:rsidR="00E82F29"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t>pró</w:t>
      </w:r>
      <w:r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t xml:space="preserve"> Israel, </w:t>
      </w:r>
      <w:r w:rsidR="00291BDC"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t xml:space="preserve">precursor do fundamentalismo, </w:t>
      </w:r>
      <w:r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t>desde cerca de 18</w:t>
      </w:r>
      <w:r w:rsidR="00291BDC"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t>7</w:t>
      </w:r>
      <w:r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t>0.</w:t>
      </w:r>
      <w:r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br/>
      </w:r>
      <w:hyperlink r:id="rId5" w:history="1">
        <w:r>
          <w:rPr>
            <w:rStyle w:val="Hyperlink"/>
          </w:rPr>
          <w:t>https://www.chamada.com.br/mensagens/pioneiro.html</w:t>
        </w:r>
      </w:hyperlink>
      <w:r>
        <w:t xml:space="preserve"> ]</w:t>
      </w:r>
      <w:r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br/>
      </w:r>
      <w:r>
        <w:rPr>
          <w:rFonts w:ascii="Trebuchet MS" w:eastAsia="Times New Roman" w:hAnsi="Trebuchet MS"/>
          <w:color w:val="666666"/>
          <w:spacing w:val="0"/>
          <w:w w:val="100"/>
          <w:sz w:val="24"/>
          <w:szCs w:val="24"/>
          <w:lang w:eastAsia="pt-BR"/>
        </w:rPr>
        <w:br/>
      </w:r>
      <w:r w:rsidRPr="00F41750">
        <w:rPr>
          <w:rFonts w:ascii="Trebuchet MS" w:eastAsia="Times New Roman" w:hAnsi="Trebuchet MS"/>
          <w:b/>
          <w:bCs/>
          <w:color w:val="666666"/>
          <w:spacing w:val="0"/>
          <w:w w:val="100"/>
          <w:sz w:val="24"/>
          <w:szCs w:val="24"/>
          <w:lang w:eastAsia="pt-BR"/>
        </w:rPr>
        <w:t>Thomas Ice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Muitos hoje ficam surpresos por verificar que a maioria dos defensores do pré-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milenismo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pré-tribulacionista dispensacional antes da Primeira Guerra Mundial pertencia aos círculos presbiterianos. James Hall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(1830-1897), um ministro presbiteriano muito conhecido em seus dias, é considerado o pai do pré-tribulacionismo e do dispensacionalismo americanos.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foi um dos primeiros a ensinar o Arrebatamento pré-Tribulação e as verdades dispensacionalistas que o acompanham, na América </w:t>
      </w:r>
      <w:proofErr w:type="gram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pós Guerra</w:t>
      </w:r>
      <w:proofErr w:type="gram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Civil. O ministério dele foi caracterizado pela dedicação a uma exposição bíblica versículo por versículo das Escrituras e por uma asserção e defesa firmes da inspiração completa e infalível da Escritura Sagrada. Ele foi um pastor muito amado, que demonstrava grande integridade pessoal e espiritualidade, e que exerceu muita influência nacional tanto dentro da denominação quanto por todo o âmbito evangélico.[1]</w:t>
      </w:r>
    </w:p>
    <w:p w:rsidR="00F41750" w:rsidRPr="00F41750" w:rsidRDefault="00F41750" w:rsidP="00F41750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Helvetica"/>
          <w:color w:val="222222"/>
          <w:spacing w:val="0"/>
          <w:w w:val="100"/>
          <w:sz w:val="41"/>
          <w:szCs w:val="41"/>
          <w:lang w:eastAsia="pt-BR"/>
        </w:rPr>
      </w:pPr>
      <w:r w:rsidRPr="00F41750">
        <w:rPr>
          <w:rFonts w:ascii="Trebuchet MS" w:eastAsia="Times New Roman" w:hAnsi="Trebuchet MS" w:cs="Helvetica"/>
          <w:color w:val="222222"/>
          <w:spacing w:val="0"/>
          <w:w w:val="100"/>
          <w:sz w:val="41"/>
          <w:szCs w:val="41"/>
          <w:lang w:eastAsia="pt-BR"/>
        </w:rPr>
        <w:t>Vida Pregressa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nasceu no dia 27 de fevereiro de 1830, em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Pulaski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, no estado americano do Tennessee. Seu pai, um ministro presbiteriano, morreu de cólera em junho de 1833, deixando a família e James em uma situação financeira de pobreza. Ambos os avós de James eram também ministros presbiterianos.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aparentemente tornou-se crente em Cristo com a idade de oito anos e também começou a se sustentar nessa mesma ocasião. Quando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tinha 14 anos, foi-lhe oferecida uma designação na Academia Militar de West Point, mas ele não a aceitou porque, em vez disso, desejava se preparar para o ministério. A maior parte da educação formal de James até aos 14 anos foi ministrada por sua mãe, que era </w:t>
      </w:r>
      <w:proofErr w:type="gram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bem educada</w:t>
      </w:r>
      <w:proofErr w:type="gram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e capaz de oferecer uma excelente instrução escolar. Aos 16 anos, James se tornou professor em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Pulaski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, Tennessee, e economizou tanto dinheiro quanto lhe foi possível a fim de poder pagar seus estudos na faculdade.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James acabou começando sua carreira na faculdade com 20 anos e entrou na Universidade de Miami em Oxford, no estado americano de Ohio. Ele foi colocado em turma mais adiantada por causa de suas habilidades acadêmicas e de seu treinamento anterior. Durante seu último ano no curso de graduação,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assumiu estudos adicionais no Seminário Presbiteriano Union de Oxford, Ohio, a fim de se equipar melhor para conseguir fazer seu treinamento ministerial em Princeton.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se formou na Universidade de Miami em 1853 e entrou para o Seminário Teológico de Princeton em Nova Jérsei no mesmo ano. Ele não somente recebeu o diploma de graduação na Universidade de Miami, mas foi lá que encontrou sua esposa, Susan Oliver, filha de um proeminente médico. Diz-se que Susan era excepcionalmente bonita e </w:t>
      </w:r>
      <w:proofErr w:type="gram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bem educada</w:t>
      </w:r>
      <w:proofErr w:type="gram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, e que seria uma ótima esposa de pastor. Eles se casaram no dia 2 de maio de 1854, em Dayton, Ohio, onde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se tornou pastor da Primeira Igreja Presbiteriana. James terminou seus estudos de pós-graduação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lastRenderedPageBreak/>
        <w:t>no Seminário de Princeton, que naquela época era considerado o melhor e mais conservador seminário nos Estados Unidos. Em 1854, foi ordenado pelo seminário por conta de seus estudos de pós-graduação.</w:t>
      </w:r>
    </w:p>
    <w:p w:rsidR="00F41750" w:rsidRPr="00F41750" w:rsidRDefault="00F41750" w:rsidP="00F41750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Helvetica"/>
          <w:color w:val="222222"/>
          <w:spacing w:val="0"/>
          <w:w w:val="100"/>
          <w:sz w:val="41"/>
          <w:szCs w:val="41"/>
          <w:lang w:eastAsia="pt-BR"/>
        </w:rPr>
      </w:pPr>
      <w:r w:rsidRPr="00F41750">
        <w:rPr>
          <w:rFonts w:ascii="Trebuchet MS" w:eastAsia="Times New Roman" w:hAnsi="Trebuchet MS" w:cs="Helvetica"/>
          <w:color w:val="222222"/>
          <w:spacing w:val="0"/>
          <w:w w:val="100"/>
          <w:sz w:val="41"/>
          <w:szCs w:val="41"/>
          <w:lang w:eastAsia="pt-BR"/>
        </w:rPr>
        <w:t>Vida Pastoral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De 1854 a 1858,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pastoreou sua primeira igreja em Dayton. A seguir, ele foi chamado para pastorear a Segunda Igreja Presbiteriana, em Saint Louis, estado americano do Missouri. Em Missouri ele permaneceu até sua morte, em 1897. Quando a Guerra Civil irrompeu, no início dos anos 1860, uma série de acontecimentos levou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a renunciar a seu cargo na igreja. Exatamente no dia seguinte, ele foi chamado a uma nova igreja e aceitou o chamado da Igreja Presbiteriana nas ruas Décima Sexta com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Walnut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, que foi onde ele serviu como pastor até sua morte. (Essa igreja mais tarde mudou e se tornou a Igreja Presbiteriana nas avenidas Washington e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Campton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.) A nova Igreja Presbiteriana cresceu rapidamente e passou a ser a maior e mais influente igreja em Saint Louis.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A pregação de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era extremamente popular onde quer que ele falasse. Ele foi um pioneiro em seus dias, com sua ênfase na exposição da Bíblia em inglês 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[a KJV-1611]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em uma época que a maioria apresentava tratados teológicos nos púlpitos. Um dos autores que escreveu sua biografia observou que ele manteve essas visões mesmo enquanto estava no Seminário.</w:t>
      </w:r>
    </w:p>
    <w:p w:rsidR="00F41750" w:rsidRPr="00F41750" w:rsidRDefault="00F41750" w:rsidP="00F41750">
      <w:pPr>
        <w:shd w:val="clear" w:color="auto" w:fill="FFFFFF"/>
        <w:spacing w:line="384" w:lineRule="atLeast"/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  <w:t>Ele também afirmava que os seminários teológicos não davam o devido valor à Bíblia em inglês</w:t>
      </w:r>
      <w:r w:rsidR="00291BDC"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  <w:t xml:space="preserve"> 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[a KJV-1611]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[tentavam enfatizar mais os textos em grego e hebraico]</w:t>
      </w:r>
      <w:r w:rsidRPr="00F41750"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  <w:t>. Ele, o defensor da Bíblia em inglês, sempre falava e não poupava esforços quando discutia sobre esse ponto. Ele disse que a média dos formandos do seminário “sabia demais sobre a Bíblia, mas não o suficiente da Bíblia”.[2]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Embora não negligenciasse o importante papel do grego e do hebraico para o expositor bíblico,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proporcionou um grande legado que foi seguido, nos últimos 150 anos, pelos excelentes professores que ministravam versículo por versículo. Esta ênfase na Bíblia em inglês 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[a KJV-1611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, não os textos em grego e hebraico e grego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]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estava no coração dos fundadores do primeiro Departamento de Exposição Bíblica do Seminário Teológico de Dallas.</w:t>
      </w:r>
    </w:p>
    <w:p w:rsidR="00F41750" w:rsidRPr="00F41750" w:rsidRDefault="00F41750" w:rsidP="00F41750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Helvetica"/>
          <w:color w:val="222222"/>
          <w:spacing w:val="0"/>
          <w:w w:val="100"/>
          <w:sz w:val="41"/>
          <w:szCs w:val="41"/>
          <w:lang w:eastAsia="pt-BR"/>
        </w:rPr>
      </w:pPr>
      <w:r w:rsidRPr="00F41750">
        <w:rPr>
          <w:rFonts w:ascii="Trebuchet MS" w:eastAsia="Times New Roman" w:hAnsi="Trebuchet MS" w:cs="Helvetica"/>
          <w:color w:val="222222"/>
          <w:spacing w:val="0"/>
          <w:w w:val="100"/>
          <w:sz w:val="41"/>
          <w:szCs w:val="41"/>
          <w:lang w:eastAsia="pt-BR"/>
        </w:rPr>
        <w:t>Ministério e Influência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É inquestionável que, durante a última terça parte do Século XIX,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foi o mais famoso e influente ministro presbiteriano da América. Ele começou seu ministério literário nos anos 1860 e produziu no mínimo 26 livros que foram publicados e cerca de 200 porções bíblicas. No início dos anos 1870, ele publicou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Maranata,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uma obra abrangente sobre escatologia que foi um dos trabalhos mais populares que ensinava o Arrebatamento pré-Tribulação. Outros livros sobre profecia incluíram: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Israel and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the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Church</w:t>
      </w:r>
      <w:proofErr w:type="spellEnd"/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[Israel e a Igreja],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Bible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Reading on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the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Second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Coming</w:t>
      </w:r>
      <w:proofErr w:type="spellEnd"/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[Leitura Bíblica Sobre a Segunda Vinda] e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Till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He Come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[Até que Ele Venha], título que mais tarde foi trocado por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I Am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Coming</w:t>
      </w:r>
      <w:proofErr w:type="spellEnd"/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[Eu Estou Chegando].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defendeu valorosamente a inspiração completa das Escrituras numa época em que as visões liberal e crítica da Bíblia estavam entrando na Igreja Presbiteriana e em outras denominações americanas. Foi quando ele escreveu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God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Spake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All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These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Words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[Deus Falou Todas Estas Palavras].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jc w:val="center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noProof/>
          <w:color w:val="222222"/>
          <w:spacing w:val="0"/>
          <w:w w:val="100"/>
          <w:sz w:val="24"/>
          <w:szCs w:val="24"/>
          <w:lang w:eastAsia="pt-BR"/>
        </w:rPr>
        <w:lastRenderedPageBreak/>
        <w:drawing>
          <wp:inline distT="0" distB="0" distL="0" distR="0">
            <wp:extent cx="6097905" cy="3006725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90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br/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Universidade bíblica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, localizada em Saint Louis, Missouri,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Eua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.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Em 1875,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começou um periódico mensal denominado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The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Truth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or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Testimony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for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Christ</w:t>
      </w:r>
      <w:proofErr w:type="spellEnd"/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[A Verdade ou Testemunho por Cristo], que finalmente chegou a ter uma circulação de mais de 40.000 exemplares. Ele continuou a servir como editor até a sua morte, e através dessa publicação ele estimulava os cristãos no evangelismo, e no estudo das profecias. Depois de sua morte, o periódico fundiu-se com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The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Watchword</w:t>
      </w:r>
      <w:proofErr w:type="spellEnd"/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[Palavra de Ordem], que mais tarde ficou conhecido como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The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Watchword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and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Truth</w:t>
      </w:r>
      <w:proofErr w:type="spellEnd"/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[Palavra de Ordem e Verdade].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Durante todos os anos do ministério de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, ele foi um participante ativo em eventos denominacionais e interdenominacionais. James foi eleito moderador da assembleia geral múltiplas vezes. Este era o ofício mais importante dentro de sua denominação na América. Foi um palestrante muito conhecido em conferências bíblicas, em encontros da YMCA, e em conferências sobre profecias. Em 1875, James foi um dos fundadores e presidente de uma conferência anual que finalmente se tornou conhecida como a Conferência Bíblica de Niágara. Esse evento anual em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Niagara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-on-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the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-Lake, em Ontário, Canadá, tornou-se a principal conferência para estudiosos da Bíblia nos últimos anos do Século XIX. Durante sua existência, a conferência era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interdenominacional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e pré-milenista. Ela era incondicionalmente pré-tribulacionista em perspectiva até que a controvérsia entre pré-tribulação e pós-tribulação passou a ser pública depois da morte de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. A controvérsia doutrinária, as incertezas quanto à localização e a morte de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levaram ao seu declínio e, em 1900, foi realizada a última conferência. O Instituto Bíblico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, em Saint Louis, recebeu o nome em homenagem ao Dr.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e é hoje denominado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Bible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College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[Faculdade de Teologia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]. Por todos os seus anos,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foi um líder indiscutível e, através de seus esforços, o pré-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milenismo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e o dispensacionalismo foram amplamente disseminados para além das barreiras denominacionais dentro do Protestantismo conservador.</w:t>
      </w:r>
    </w:p>
    <w:p w:rsidR="00F41750" w:rsidRPr="00F41750" w:rsidRDefault="00F41750" w:rsidP="00F41750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22222"/>
          <w:spacing w:val="0"/>
          <w:w w:val="100"/>
          <w:sz w:val="24"/>
          <w:szCs w:val="24"/>
          <w:lang w:eastAsia="pt-BR"/>
        </w:rPr>
      </w:pPr>
    </w:p>
    <w:p w:rsidR="00F41750" w:rsidRPr="00F41750" w:rsidRDefault="00F41750" w:rsidP="00F41750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Helvetica"/>
          <w:color w:val="222222"/>
          <w:spacing w:val="0"/>
          <w:w w:val="100"/>
          <w:sz w:val="41"/>
          <w:szCs w:val="41"/>
          <w:lang w:eastAsia="pt-BR"/>
        </w:rPr>
      </w:pPr>
      <w:r w:rsidRPr="00F41750">
        <w:rPr>
          <w:rFonts w:ascii="Trebuchet MS" w:eastAsia="Times New Roman" w:hAnsi="Trebuchet MS" w:cs="Helvetica"/>
          <w:color w:val="222222"/>
          <w:spacing w:val="0"/>
          <w:w w:val="100"/>
          <w:sz w:val="41"/>
          <w:szCs w:val="41"/>
          <w:lang w:eastAsia="pt-BR"/>
        </w:rPr>
        <w:t>Influência da Profecia Bíblica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lastRenderedPageBreak/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foi um dos mais proeminentes e fervorosos estudantes de profecia de seu tempo. Em um artigo de 1896 no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The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Truth</w:t>
      </w:r>
      <w:proofErr w:type="spellEnd"/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chamado “Como Tornei-me Pré-Milenista”,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afirmou que ele chegou à sua escatologia pré-milenista através de suas próprias leituras e estudos de Apocalipse e Daniel, depois de ter entrado para o pastorado e depois de ter negligenciado as profecias por muitos anos. Esse estudo independente, juntamente com alguma influência dos Plymouth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Brethren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[Irmãos de Plymouth] nos anos depois da Guerra Civil, lhe proporcionaram o pano de fundo histórico para suas convicções. Ele hospedou o líder dos British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Brethren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[Irmãos Britânicos], John Nelson Darby, em sua igreja em múltiplas ocasiões, mas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negava ser receptor direto da escatologia dos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Brethren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, embora reconhecesse ter um apreço pelo entusiasmo escatológico deles. Logo em 1871,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já estava publicando e ensinando visões semelhantes ao dispensacionalismo. Em 1874, seu sistema estava bem desenvolvido e foi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quem apresentou C.I. Scofield, logo depois da conversão deste, aos ensinamentos do pré-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milenismo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dispensacionalista. Seria através de Scofield e de sua Bíblia de Estudos que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teria sua influência mais duradoura.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era versado nas opções escatológicas dentro do pré-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milenismo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e discutia tanto contra uma teoria do Arrebatamento parcial quanto contra o pós-tribulacionismo. Ele se recusava a estabelecer datas para o Arrebatamento e se apegou a uma forte doutrina do retorno do Senhor e da iminência desse retorno:</w:t>
      </w:r>
    </w:p>
    <w:p w:rsidR="00F41750" w:rsidRPr="00F41750" w:rsidRDefault="00F41750" w:rsidP="00F41750">
      <w:pPr>
        <w:shd w:val="clear" w:color="auto" w:fill="FFFFFF"/>
        <w:spacing w:line="384" w:lineRule="atLeast"/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  <w:t>Quão emocionante é o pensamento de que o primeiro desses sensacionais acontecimentos, a saber, a vinda de Cristo para os santos, possa ocorrer a qualquer momento.[3]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Ele era muito consciente da acusação feita por críticos mal informados de que os dispensacionalistas afirmavam haver mais de um caminho para a salvação, e refutava isto veementemente em seus escritos:</w:t>
      </w:r>
    </w:p>
    <w:p w:rsidR="00F41750" w:rsidRPr="00F41750" w:rsidRDefault="00F41750" w:rsidP="00F41750">
      <w:pPr>
        <w:shd w:val="clear" w:color="auto" w:fill="FFFFFF"/>
        <w:spacing w:line="384" w:lineRule="atLeast"/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  <w:t>É desnecessário lembrar qualquer leitor comum das Sagradas Escrituras de que, desde os versículos de abertura de Gênesis até Malaquias, o Espírito é posto à vista na criação, providência e redenção, e que todos os que são salvos foram vivificados através de seu divino poder e graça, como o são agora.[4]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Um estudioso escreveu em uma tese de doutorado:</w:t>
      </w:r>
    </w:p>
    <w:p w:rsidR="00F41750" w:rsidRPr="00F41750" w:rsidRDefault="00F41750" w:rsidP="00F41750">
      <w:pPr>
        <w:shd w:val="clear" w:color="auto" w:fill="FFFFFF"/>
        <w:spacing w:line="384" w:lineRule="atLeast"/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  <w:t xml:space="preserve">James </w:t>
      </w:r>
      <w:proofErr w:type="spellStart"/>
      <w:r w:rsidRPr="00F41750"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  <w:t xml:space="preserve"> causou um tremendo impacto sobre a cena religiosa americana. Ele teve um papel crucial no desenvolvimento e divulgação do pré-</w:t>
      </w:r>
      <w:proofErr w:type="spellStart"/>
      <w:r w:rsidRPr="00F41750"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  <w:t>milenismo</w:t>
      </w:r>
      <w:proofErr w:type="spellEnd"/>
      <w:r w:rsidRPr="00F41750">
        <w:rPr>
          <w:rFonts w:ascii="inherit" w:eastAsia="Times New Roman" w:hAnsi="inherit" w:cs="Helvetica"/>
          <w:color w:val="6F6F6F"/>
          <w:spacing w:val="0"/>
          <w:w w:val="100"/>
          <w:sz w:val="24"/>
          <w:szCs w:val="24"/>
          <w:lang w:eastAsia="pt-BR"/>
        </w:rPr>
        <w:t xml:space="preserve"> dispensacionalista americano e, assim, sobre o Fundamentalismo americano. Por meio de seus escritos, sua liderança na Conferência Bíblica de Niágara e seus relacionamentos pessoais, ele afetou toda uma geração de líderes pré-milenistas. Seu impacto é difícil de ser superestimado. A despeito dessa importância, ele permanece relativamente negligenciado.[5]</w:t>
      </w:r>
    </w:p>
    <w:p w:rsidR="00F41750" w:rsidRPr="00F41750" w:rsidRDefault="00F41750" w:rsidP="00F41750">
      <w:pPr>
        <w:shd w:val="clear" w:color="auto" w:fill="FFFFFF"/>
        <w:spacing w:after="300" w:line="384" w:lineRule="atLeast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tinha uma versão altamente desenvolvida da teologia dispensacionalista, a qual ele promoveu e divulgou por toda a América do Norte através de suas pregações, seus escritos e sua influência como Presidente da Conferência Bíblica de Niágara. Ele também estabeleceu um padrão para a teologia evangélica como resultado da declaração doutrinária de Niágara que escreveu. James seguiu vigorosamente a Cristo ao edificar sua teologia com base na Bíblia e na Bíblia somente. “James H.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merece uma posição nobre nas memórias daqueles que hoje, como ele, buscam honrar a verdade bíblica”.[6]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é um valioso pai do movimento de exposição bíblica, do pré-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milenismo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futurista, do dispensacionalismo, e do Arrebatamento pré-tribulacionista. É triste ver uma ênfase tão saudável em tamanho declínio em nossos dias, até mesmo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lastRenderedPageBreak/>
        <w:t>entre as igrejas, denominações e associações que certa vez já prosperaram quando seguiam a liderança dele. Maranata!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(Thomas Ice — </w:t>
      </w:r>
      <w:proofErr w:type="spellStart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>Pre-Trib</w:t>
      </w:r>
      <w:proofErr w:type="spellEnd"/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eastAsia="pt-BR"/>
        </w:rPr>
        <w:t xml:space="preserve"> Perspectives)</w:t>
      </w:r>
    </w:p>
    <w:p w:rsidR="00F41750" w:rsidRPr="00F41750" w:rsidRDefault="00F41750" w:rsidP="00F41750">
      <w:pPr>
        <w:shd w:val="clear" w:color="auto" w:fill="FFFFFF"/>
        <w:spacing w:before="48" w:after="120" w:line="240" w:lineRule="auto"/>
        <w:outlineLvl w:val="1"/>
        <w:rPr>
          <w:rFonts w:ascii="Trebuchet MS" w:eastAsia="Times New Roman" w:hAnsi="Trebuchet MS" w:cs="Helvetica"/>
          <w:color w:val="222222"/>
          <w:spacing w:val="0"/>
          <w:w w:val="100"/>
          <w:sz w:val="41"/>
          <w:szCs w:val="41"/>
          <w:lang w:eastAsia="pt-BR"/>
        </w:rPr>
      </w:pPr>
      <w:r w:rsidRPr="00F41750">
        <w:rPr>
          <w:rFonts w:ascii="Trebuchet MS" w:eastAsia="Times New Roman" w:hAnsi="Trebuchet MS" w:cs="Helvetica"/>
          <w:color w:val="222222"/>
          <w:spacing w:val="0"/>
          <w:w w:val="100"/>
          <w:sz w:val="41"/>
          <w:szCs w:val="41"/>
          <w:lang w:eastAsia="pt-BR"/>
        </w:rPr>
        <w:t>Notas:</w:t>
      </w:r>
    </w:p>
    <w:p w:rsidR="00F41750" w:rsidRPr="00F41750" w:rsidRDefault="00F41750" w:rsidP="00F41750">
      <w:pPr>
        <w:numPr>
          <w:ilvl w:val="0"/>
          <w:numId w:val="1"/>
        </w:numPr>
        <w:shd w:val="clear" w:color="auto" w:fill="FFFFFF"/>
        <w:spacing w:line="384" w:lineRule="atLeast"/>
        <w:ind w:left="0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Baseei-me grandemente em um artigo de Timothy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Demy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 xml:space="preserve">, “James Hall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Brookes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eastAsia="pt-BR"/>
        </w:rPr>
        <w:t>” http://www.pre-trib.org/data/pdf/Demy-JamesHallBookes.pdf.</w:t>
      </w:r>
    </w:p>
    <w:p w:rsidR="00F41750" w:rsidRPr="00F41750" w:rsidRDefault="00F41750" w:rsidP="00F41750">
      <w:pPr>
        <w:numPr>
          <w:ilvl w:val="0"/>
          <w:numId w:val="1"/>
        </w:numPr>
        <w:shd w:val="clear" w:color="auto" w:fill="FFFFFF"/>
        <w:spacing w:line="384" w:lineRule="atLeast"/>
        <w:ind w:left="0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David Riddle Williams,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val="en-CA" w:eastAsia="pt-BR"/>
        </w:rPr>
        <w:t>James H. Brookes: A Memoir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[James H. Brookes: Uma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Memória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] (St. Louis: Presbyterian Board of Publication, 1897), pp. 58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59.</w:t>
      </w:r>
    </w:p>
    <w:p w:rsidR="00F41750" w:rsidRPr="00F41750" w:rsidRDefault="00F41750" w:rsidP="00F41750">
      <w:pPr>
        <w:numPr>
          <w:ilvl w:val="0"/>
          <w:numId w:val="1"/>
        </w:numPr>
        <w:shd w:val="clear" w:color="auto" w:fill="FFFFFF"/>
        <w:spacing w:line="384" w:lineRule="atLeast"/>
        <w:ind w:left="0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James H. Brookes,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val="en-CA" w:eastAsia="pt-BR"/>
        </w:rPr>
        <w:t>Maranatha: or The Lord Cometh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[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Maranata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: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ou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Vem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Senhor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], 10th edition (New York: Fleming H. Revell Company, 1889), p. 540.</w:t>
      </w:r>
    </w:p>
    <w:p w:rsidR="00F41750" w:rsidRPr="00F41750" w:rsidRDefault="00F41750" w:rsidP="00F41750">
      <w:pPr>
        <w:numPr>
          <w:ilvl w:val="0"/>
          <w:numId w:val="1"/>
        </w:numPr>
        <w:shd w:val="clear" w:color="auto" w:fill="FFFFFF"/>
        <w:spacing w:line="384" w:lineRule="atLeast"/>
        <w:ind w:left="0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James H. Brookes,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r w:rsidRPr="00F41750">
        <w:rPr>
          <w:rFonts w:ascii="inherit" w:eastAsia="Times New Roman" w:hAnsi="inherit" w:cs="Helvetica"/>
          <w:i/>
          <w:iCs/>
          <w:color w:val="222222"/>
          <w:spacing w:val="0"/>
          <w:w w:val="100"/>
          <w:sz w:val="24"/>
          <w:szCs w:val="24"/>
          <w:lang w:val="en-CA" w:eastAsia="pt-BR"/>
        </w:rPr>
        <w:t>Israel and the Church: The Terms Distinguished as Found in the Word of God</w:t>
      </w:r>
      <w:r w:rsidR="00291BDC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[Israel e </w:t>
      </w:r>
      <w:proofErr w:type="gram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a</w:t>
      </w:r>
      <w:proofErr w:type="gram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Igreja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: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Os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Termos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Distintos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Como São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Encontrados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na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Palavra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de Deus] (Chicago: The Bible Institute Colportage Association, 188?), p. 38.</w:t>
      </w:r>
    </w:p>
    <w:p w:rsidR="00F41750" w:rsidRPr="00F41750" w:rsidRDefault="00F41750" w:rsidP="00F41750">
      <w:pPr>
        <w:numPr>
          <w:ilvl w:val="0"/>
          <w:numId w:val="1"/>
        </w:numPr>
        <w:shd w:val="clear" w:color="auto" w:fill="FFFFFF"/>
        <w:spacing w:line="384" w:lineRule="atLeast"/>
        <w:ind w:left="0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Carl E. Sanders II, “The Premillennial Faith of James Hall Brookes” [A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Fé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Pré-Milenista de James H. Brookes] (PhD dissertation, Dallas Theological Seminary, 1995), p. 202.</w:t>
      </w:r>
    </w:p>
    <w:p w:rsidR="00F41750" w:rsidRPr="00F41750" w:rsidRDefault="00F41750" w:rsidP="00F41750">
      <w:pPr>
        <w:numPr>
          <w:ilvl w:val="0"/>
          <w:numId w:val="1"/>
        </w:numPr>
        <w:shd w:val="clear" w:color="auto" w:fill="FFFFFF"/>
        <w:spacing w:line="384" w:lineRule="atLeast"/>
        <w:ind w:left="0"/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</w:pPr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Larry Dean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Pettegrew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, “The Historical and Theological Contributions of the Niagara Bible Conference to American Fundamentalism” [As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Contribuições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Históricas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e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Teológicas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da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Conferência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Bíblica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de Niagara para o 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Fundamentalismo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Americano] (</w:t>
      </w:r>
      <w:proofErr w:type="spellStart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>ThD</w:t>
      </w:r>
      <w:proofErr w:type="spellEnd"/>
      <w:r w:rsidRPr="00F41750">
        <w:rPr>
          <w:rFonts w:ascii="inherit" w:eastAsia="Times New Roman" w:hAnsi="inherit" w:cs="Helvetica"/>
          <w:color w:val="222222"/>
          <w:spacing w:val="0"/>
          <w:w w:val="100"/>
          <w:sz w:val="24"/>
          <w:szCs w:val="24"/>
          <w:lang w:val="en-CA" w:eastAsia="pt-BR"/>
        </w:rPr>
        <w:t xml:space="preserve"> dissertation, Dallas Theological Seminary, 1976), p. 161.</w:t>
      </w:r>
    </w:p>
    <w:p w:rsidR="00DA575C" w:rsidRDefault="00DA575C">
      <w:pPr>
        <w:rPr>
          <w:lang w:val="en-CA"/>
        </w:rPr>
      </w:pPr>
    </w:p>
    <w:p w:rsidR="00F41750" w:rsidRDefault="00F41750" w:rsidP="00F41750">
      <w:pPr>
        <w:rPr>
          <w:lang w:val="en-CA"/>
        </w:rPr>
      </w:pPr>
    </w:p>
    <w:p w:rsidR="00F41750" w:rsidRPr="00F41750" w:rsidRDefault="00F41750" w:rsidP="00F41750">
      <w:r>
        <w:rPr>
          <w:rStyle w:val="Forte"/>
          <w:rFonts w:ascii="Helvetica" w:hAnsi="Helvetica" w:cs="Helvetica"/>
          <w:color w:val="222222"/>
          <w:sz w:val="22"/>
          <w:szCs w:val="22"/>
          <w:shd w:val="clear" w:color="auto" w:fill="FFFFFF"/>
        </w:rPr>
        <w:t>Thomas Ice</w:t>
      </w:r>
      <w:r w:rsidR="00291BDC"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é diretor-executivo do </w:t>
      </w:r>
      <w:proofErr w:type="spellStart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Pre-Trib</w:t>
      </w:r>
      <w:proofErr w:type="spellEnd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Research</w:t>
      </w:r>
      <w:proofErr w:type="spellEnd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Center (Centro de Pesquisas Pré-Tribulacionistas) e professor de Teologia na </w:t>
      </w:r>
      <w:proofErr w:type="spellStart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Liberty</w:t>
      </w:r>
      <w:proofErr w:type="spellEnd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University</w:t>
      </w:r>
      <w:proofErr w:type="spellEnd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. Ele é </w:t>
      </w:r>
      <w:proofErr w:type="spellStart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Th.M</w:t>
      </w:r>
      <w:proofErr w:type="spellEnd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 xml:space="preserve">. pelo Seminário Teológico de Dallas e Ph.D. pelo Seminário Teológico Tyndale. Editor da Bíblia de Estudo Profética e autor de aproximadamente 30 livros, Thomas Ice é também um renomado conferencista. Ele e sua esposa Janice vivem com os três filhos em </w:t>
      </w:r>
      <w:proofErr w:type="spellStart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Lynchburg</w:t>
      </w:r>
      <w:proofErr w:type="spellEnd"/>
      <w:r>
        <w:rPr>
          <w:rFonts w:ascii="Helvetica" w:hAnsi="Helvetica" w:cs="Helvetica"/>
          <w:color w:val="222222"/>
          <w:sz w:val="22"/>
          <w:szCs w:val="22"/>
          <w:shd w:val="clear" w:color="auto" w:fill="FFFFFF"/>
        </w:rPr>
        <w:t>, Virginia (EUA).</w:t>
      </w:r>
    </w:p>
    <w:sectPr w:rsidR="00F41750" w:rsidRPr="00F41750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3CF"/>
    <w:multiLevelType w:val="multilevel"/>
    <w:tmpl w:val="35CA0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mirrorMargins/>
  <w:proofState w:spelling="clean" w:grammar="clean"/>
  <w:revisionView w:inkAnnotations="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50"/>
    <w:rsid w:val="000B6EF7"/>
    <w:rsid w:val="000C656D"/>
    <w:rsid w:val="00291BDC"/>
    <w:rsid w:val="004300E4"/>
    <w:rsid w:val="00482560"/>
    <w:rsid w:val="004B4CF0"/>
    <w:rsid w:val="00771F88"/>
    <w:rsid w:val="00803B04"/>
    <w:rsid w:val="00DA575C"/>
    <w:rsid w:val="00E82F29"/>
    <w:rsid w:val="00F41750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3FA1"/>
  <w15:chartTrackingRefBased/>
  <w15:docId w15:val="{8787CA4B-DEEF-43A2-B5FA-5C98EAE0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customStyle="1" w:styleId="authorname">
    <w:name w:val="author_name"/>
    <w:basedOn w:val="Normal"/>
    <w:rsid w:val="00F41750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w w:val="1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41750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4175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41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165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4" w:color="DDDDDD"/>
                <w:bottom w:val="none" w:sz="0" w:space="0" w:color="auto"/>
                <w:right w:val="none" w:sz="0" w:space="0" w:color="auto"/>
              </w:divBdr>
            </w:div>
            <w:div w:id="23732444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17394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4" w:color="DDDDDD"/>
                <w:bottom w:val="none" w:sz="0" w:space="0" w:color="auto"/>
                <w:right w:val="none" w:sz="0" w:space="0" w:color="auto"/>
              </w:divBdr>
            </w:div>
            <w:div w:id="103842984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4" w:color="DDDDDD"/>
                <w:bottom w:val="none" w:sz="0" w:space="0" w:color="auto"/>
                <w:right w:val="none" w:sz="0" w:space="0" w:color="auto"/>
              </w:divBdr>
            </w:div>
            <w:div w:id="140058976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chamada.com.br/mensagens/pioneir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2167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2019-12-26T01:10:00Z</dcterms:created>
  <dcterms:modified xsi:type="dcterms:W3CDTF">2019-12-26T01:39:00Z</dcterms:modified>
</cp:coreProperties>
</file>